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5C7EA206" w:rsidR="00307183" w:rsidRPr="00232AEE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232AEE">
        <w:rPr>
          <w:rFonts w:cs="Arial"/>
          <w:b/>
          <w:szCs w:val="24"/>
          <w:lang w:eastAsia="ar-SA"/>
        </w:rPr>
        <w:t>ATA D</w:t>
      </w:r>
      <w:r w:rsidR="009B5D4A" w:rsidRPr="00232AEE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232AEE">
        <w:rPr>
          <w:rFonts w:cs="Arial"/>
          <w:b/>
          <w:szCs w:val="24"/>
          <w:lang w:eastAsia="ar-SA"/>
        </w:rPr>
        <w:t>0</w:t>
      </w:r>
      <w:r w:rsidR="008E6604" w:rsidRPr="00232AEE">
        <w:rPr>
          <w:rFonts w:cs="Arial"/>
          <w:b/>
          <w:szCs w:val="24"/>
          <w:lang w:eastAsia="ar-SA"/>
        </w:rPr>
        <w:t>2</w:t>
      </w:r>
      <w:r w:rsidR="00C42B8A">
        <w:rPr>
          <w:rFonts w:cs="Arial"/>
          <w:b/>
          <w:szCs w:val="24"/>
          <w:lang w:eastAsia="ar-SA"/>
        </w:rPr>
        <w:t>2</w:t>
      </w:r>
      <w:r w:rsidR="00AD44F5" w:rsidRPr="00232AEE">
        <w:rPr>
          <w:rFonts w:cs="Arial"/>
          <w:b/>
          <w:szCs w:val="24"/>
          <w:lang w:eastAsia="ar-SA"/>
        </w:rPr>
        <w:t>/202</w:t>
      </w:r>
      <w:r w:rsidR="00F94237" w:rsidRPr="00232AEE">
        <w:rPr>
          <w:rFonts w:cs="Arial"/>
          <w:b/>
          <w:szCs w:val="24"/>
          <w:lang w:eastAsia="ar-SA"/>
        </w:rPr>
        <w:t>5</w:t>
      </w:r>
    </w:p>
    <w:p w14:paraId="774B082A" w14:textId="7781DA9E" w:rsidR="00EC2C22" w:rsidRPr="00232AEE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Cs w:val="24"/>
          <w:lang w:eastAsia="ar-SA"/>
        </w:rPr>
        <w:t>PREGÃO ELETRÔNICO Nº 0</w:t>
      </w:r>
      <w:r w:rsidR="00C42B8A">
        <w:rPr>
          <w:rFonts w:cs="Arial"/>
          <w:b/>
          <w:szCs w:val="24"/>
          <w:lang w:eastAsia="ar-SA"/>
        </w:rPr>
        <w:t>42</w:t>
      </w:r>
      <w:r w:rsidRPr="00232AEE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 w:val="22"/>
          <w:szCs w:val="22"/>
          <w:lang w:eastAsia="ar-SA"/>
        </w:rPr>
        <w:tab/>
      </w:r>
    </w:p>
    <w:p w14:paraId="54DA8A33" w14:textId="1935AA21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Aos </w:t>
      </w:r>
      <w:r w:rsidR="00C42B8A">
        <w:rPr>
          <w:rFonts w:cs="Arial"/>
          <w:sz w:val="22"/>
          <w:szCs w:val="22"/>
          <w:lang w:eastAsia="ar-SA"/>
        </w:rPr>
        <w:t>quatro</w:t>
      </w:r>
      <w:r w:rsidRPr="00232AEE">
        <w:rPr>
          <w:rFonts w:cs="Arial"/>
          <w:sz w:val="22"/>
          <w:szCs w:val="22"/>
          <w:lang w:eastAsia="ar-SA"/>
        </w:rPr>
        <w:t xml:space="preserve"> dias do mês de </w:t>
      </w:r>
      <w:r w:rsidR="00C42B8A">
        <w:rPr>
          <w:rFonts w:cs="Arial"/>
          <w:sz w:val="22"/>
          <w:szCs w:val="22"/>
          <w:lang w:eastAsia="ar-SA"/>
        </w:rPr>
        <w:t>setembro</w:t>
      </w:r>
      <w:r w:rsidRPr="00232AEE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C42B8A">
        <w:rPr>
          <w:rFonts w:cs="Arial"/>
          <w:sz w:val="22"/>
          <w:szCs w:val="22"/>
          <w:lang w:eastAsia="ar-SA"/>
        </w:rPr>
        <w:t>42</w:t>
      </w:r>
      <w:r w:rsidRPr="00232AEE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C42B8A">
        <w:rPr>
          <w:rFonts w:cs="Arial"/>
          <w:sz w:val="22"/>
          <w:szCs w:val="22"/>
          <w:lang w:eastAsia="ar-SA"/>
        </w:rPr>
        <w:t>02/09/2025</w:t>
      </w:r>
      <w:r w:rsidRPr="00232AEE">
        <w:rPr>
          <w:rFonts w:cs="Arial"/>
          <w:sz w:val="22"/>
          <w:szCs w:val="22"/>
          <w:lang w:eastAsia="ar-SA"/>
        </w:rPr>
        <w:t>, resolve REGISTRAR OS PREÇOS das empresas participantes da licitação, com critério de julgamento menor preço por item, observadas as cláusulas estabelecidas no edital que regeu o certame, conforme a seguir.</w:t>
      </w:r>
    </w:p>
    <w:p w14:paraId="53C212AD" w14:textId="77777777" w:rsidR="002E7430" w:rsidRPr="00232AEE" w:rsidRDefault="002E7430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4460D676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t>1. OBJETO</w:t>
      </w:r>
    </w:p>
    <w:p w14:paraId="52104C8D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1.1 É objeto da presente ata o registro de preços para futura e eventual aquisição de material odontológico, abaixo especificado, quando dele o Município tiver necessidade.</w:t>
      </w:r>
    </w:p>
    <w:p w14:paraId="56559556" w14:textId="77777777" w:rsidR="000C12F8" w:rsidRPr="00C835C3" w:rsidRDefault="000C12F8" w:rsidP="000C12F8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zCs w:val="22"/>
        </w:rPr>
      </w:pPr>
      <w:r w:rsidRPr="00C835C3">
        <w:rPr>
          <w:rFonts w:cs="Arial"/>
          <w:szCs w:val="22"/>
        </w:rPr>
        <w:t>1.2. As empresas deverão substituir todo e qualquer material que estiver fora dos padrões solicitados</w:t>
      </w:r>
      <w:r w:rsidRPr="00C835C3">
        <w:rPr>
          <w:rFonts w:cs="Arial"/>
          <w:bCs/>
          <w:szCs w:val="22"/>
        </w:rPr>
        <w:t>, ficando sujeitas às penalidades legais.</w:t>
      </w:r>
    </w:p>
    <w:p w14:paraId="2C4EF576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6C2B74F3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t>2. VALIDADE DA ATA</w:t>
      </w:r>
    </w:p>
    <w:p w14:paraId="5A327A3F" w14:textId="718FEC50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2.1 O prazo de vigência da ata de registro de preços será de 1 (um) ano a contar da data do instrumento</w:t>
      </w:r>
      <w:r>
        <w:rPr>
          <w:rFonts w:cs="Arial"/>
          <w:szCs w:val="22"/>
        </w:rPr>
        <w:t xml:space="preserve">, ou seja, </w:t>
      </w:r>
      <w:r w:rsidRPr="000C12F8">
        <w:rPr>
          <w:rFonts w:cs="Arial"/>
          <w:b/>
          <w:bCs/>
          <w:szCs w:val="22"/>
          <w:u w:val="single"/>
        </w:rPr>
        <w:t>até 04/09/2026</w:t>
      </w:r>
      <w:r>
        <w:rPr>
          <w:rFonts w:cs="Arial"/>
          <w:szCs w:val="22"/>
        </w:rPr>
        <w:t>,</w:t>
      </w:r>
      <w:r w:rsidRPr="00C835C3">
        <w:rPr>
          <w:rFonts w:cs="Arial"/>
          <w:szCs w:val="22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5D88B959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613B6BD7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3FA4EF26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t>3. PREÇOS</w:t>
      </w:r>
    </w:p>
    <w:p w14:paraId="357748B1" w14:textId="484FA055" w:rsidR="000C12F8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 xml:space="preserve">3.1 Os preços ofertados pelas empresas na licitação serão devidamente registrados, conforme demonstrativo </w:t>
      </w:r>
      <w:r w:rsidR="00E72126">
        <w:rPr>
          <w:rFonts w:cs="Arial"/>
          <w:szCs w:val="22"/>
        </w:rPr>
        <w:t>do Anexo I deste instrumento</w:t>
      </w:r>
      <w:r w:rsidRPr="00C835C3">
        <w:rPr>
          <w:rFonts w:cs="Arial"/>
          <w:szCs w:val="22"/>
        </w:rPr>
        <w:t>:</w:t>
      </w:r>
    </w:p>
    <w:p w14:paraId="5AE3DBED" w14:textId="2E4E4EAC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0C12F8" w:rsidRPr="00C835C3">
        <w:rPr>
          <w:rFonts w:cs="Arial"/>
          <w:szCs w:val="22"/>
        </w:rPr>
        <w:t>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7278FE78" w14:textId="11711A23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0C12F8" w:rsidRPr="00C835C3">
        <w:rPr>
          <w:rFonts w:cs="Arial"/>
          <w:szCs w:val="22"/>
        </w:rPr>
        <w:t>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26C72699" w14:textId="3405AC25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0C12F8" w:rsidRPr="00C835C3">
        <w:rPr>
          <w:rFonts w:cs="Arial"/>
          <w:szCs w:val="22"/>
        </w:rPr>
        <w:t xml:space="preserve">.4 Na hipótese da alínea c) do item 7.5, se devidamente comprovado e deferido o reequilíbrio econômico-financeiro do preço registrado, o fornecedor será reclassificado na ata, conforme o preço reequilibrado.  </w:t>
      </w:r>
    </w:p>
    <w:p w14:paraId="41208FBA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1936ABBD" w14:textId="05DE73BB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4</w:t>
      </w:r>
      <w:r w:rsidR="000C12F8" w:rsidRPr="00C835C3">
        <w:rPr>
          <w:rFonts w:cs="Arial"/>
          <w:b/>
          <w:szCs w:val="22"/>
        </w:rPr>
        <w:t>. CONDIÇÕES DE FORNECIMENTO</w:t>
      </w:r>
    </w:p>
    <w:p w14:paraId="61672AFB" w14:textId="29D5B7D5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4DE8B74C" w14:textId="47EC081F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 xml:space="preserve">.2. As ordens de compra/serviço poderão ser entregues diretamente na sede da 1ª colocada ou encaminhadas por meio eletrônico, sendo que </w:t>
      </w:r>
      <w:r w:rsidR="000C12F8" w:rsidRPr="00C835C3">
        <w:rPr>
          <w:rFonts w:cs="Arial"/>
          <w:bCs/>
          <w:szCs w:val="22"/>
        </w:rPr>
        <w:t xml:space="preserve">o </w:t>
      </w:r>
      <w:r w:rsidR="000C12F8" w:rsidRPr="00C835C3">
        <w:rPr>
          <w:rFonts w:cs="Arial"/>
          <w:b/>
          <w:szCs w:val="22"/>
        </w:rPr>
        <w:t>prazo máximo para a entrega será de 10 (dez) dias úteis</w:t>
      </w:r>
      <w:r w:rsidR="000C12F8" w:rsidRPr="00C835C3">
        <w:rPr>
          <w:rFonts w:cs="Arial"/>
          <w:bCs/>
          <w:szCs w:val="22"/>
        </w:rPr>
        <w:t xml:space="preserve"> contados do envio do empenho orçamentário, via e-mail</w:t>
      </w:r>
      <w:r w:rsidR="000C12F8" w:rsidRPr="00C835C3">
        <w:rPr>
          <w:rFonts w:cs="Arial"/>
          <w:szCs w:val="22"/>
        </w:rPr>
        <w:t>.</w:t>
      </w:r>
    </w:p>
    <w:p w14:paraId="73CCCFD3" w14:textId="3BA8604F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.3. O prazo de que trata o item anterior poderá ser prorrogado, à critério da Secretaria competente, desde que seja requerido pela empresa registrada de forma motivada, devidamente justificado e durante o transcurso do respectivo prazo de entrega dos itens.</w:t>
      </w:r>
    </w:p>
    <w:p w14:paraId="134DBD1A" w14:textId="6055F1F2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.4. Qualquer atraso no cumprimento do prazo estabelecido na presente ata somente será justificado, e não será considerado como inadimplemento, se provocado por ato ou fato imprevisível não imputável às empresas registradas e devidamente aceito pela Administração.</w:t>
      </w:r>
    </w:p>
    <w:p w14:paraId="285C5435" w14:textId="2DB628C4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 xml:space="preserve">.5. A entrega do material deverá ser no </w:t>
      </w:r>
      <w:r w:rsidR="000C12F8" w:rsidRPr="00C835C3">
        <w:rPr>
          <w:rFonts w:cs="Arial"/>
          <w:b/>
          <w:bCs/>
          <w:szCs w:val="22"/>
        </w:rPr>
        <w:t>Almoxarifado Municipal,</w:t>
      </w:r>
      <w:r w:rsidR="000C12F8" w:rsidRPr="00C835C3">
        <w:rPr>
          <w:rFonts w:cs="Arial"/>
          <w:szCs w:val="22"/>
        </w:rPr>
        <w:t xml:space="preserve"> sita à Travessa 22 de Outubro, nº 92, Centro, Boa Vista do Sul/RS.</w:t>
      </w:r>
    </w:p>
    <w:p w14:paraId="79172CD9" w14:textId="74A51D76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.6. Dentro do prazo de vigência contratual, a licitante 1ª colocada está obrigada a entregar o material, desde que obedecidas às condições da ordem de compra/serviço e cláusulas do edital de pregão que precedeu a formalização dessa Ata.</w:t>
      </w:r>
    </w:p>
    <w:p w14:paraId="0920787F" w14:textId="1E2B4B1B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.7. O material entregue em desacordo com as especificações do edital ou condições exigidas no contrato/ata, deverão ser rejeitados pela Administração, em observância ao art. 140, § 1º, da Lei nº 14.133/2021, e refeitos nos seguintes prazos:</w:t>
      </w:r>
    </w:p>
    <w:p w14:paraId="3DBB56C3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a) imediatamente, se a rejeição ocorrer no ato da entrega; e</w:t>
      </w:r>
    </w:p>
    <w:p w14:paraId="56FC3A46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b) em até dois dias após a contratada ter sido devidamente notificada, caso a constatação de irregularidade seja posterior à entrega.</w:t>
      </w:r>
    </w:p>
    <w:p w14:paraId="25547B8E" w14:textId="083A4451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0C12F8" w:rsidRPr="00C835C3">
        <w:rPr>
          <w:rFonts w:cs="Arial"/>
          <w:szCs w:val="22"/>
        </w:rPr>
        <w:t>.8. A recusa da contratada em atender à realização do serviço levará à aplicação das sanções previstas por inadimplemento.</w:t>
      </w:r>
    </w:p>
    <w:p w14:paraId="3514AE2F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756B125E" w14:textId="5793A11C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="000C12F8" w:rsidRPr="00C835C3">
        <w:rPr>
          <w:rFonts w:cs="Arial"/>
          <w:b/>
          <w:szCs w:val="22"/>
        </w:rPr>
        <w:t>. DO PAGAMENTO E DA CORREÇÃO MONETÁRIA</w:t>
      </w:r>
    </w:p>
    <w:p w14:paraId="27ACA36D" w14:textId="571AD1C7" w:rsidR="000C12F8" w:rsidRPr="00E72126" w:rsidRDefault="00E72126" w:rsidP="000C12F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rPr>
          <w:rFonts w:eastAsia="Calibri" w:cs="Arial"/>
          <w:bCs/>
          <w:szCs w:val="22"/>
        </w:rPr>
      </w:pPr>
      <w:r w:rsidRPr="00E72126">
        <w:rPr>
          <w:rFonts w:cs="Arial"/>
          <w:bCs/>
          <w:szCs w:val="22"/>
        </w:rPr>
        <w:t>5</w:t>
      </w:r>
      <w:r w:rsidR="000C12F8" w:rsidRPr="00E72126">
        <w:rPr>
          <w:rFonts w:cs="Arial"/>
          <w:bCs/>
          <w:szCs w:val="22"/>
        </w:rPr>
        <w:t xml:space="preserve">.1 </w:t>
      </w:r>
      <w:r w:rsidR="000C12F8" w:rsidRPr="00E72126">
        <w:rPr>
          <w:rFonts w:eastAsia="Calibri" w:cs="Arial"/>
          <w:bCs/>
          <w:szCs w:val="22"/>
        </w:rPr>
        <w:t>O pagamento será efetuado contra empenho, após a entrega dos materiais, até o 5º (quinto) dia útil após liquidação da respectiva Nota Fiscal, por intermédio da Secretaria Municipal da Fazenda do Município.</w:t>
      </w:r>
    </w:p>
    <w:p w14:paraId="25064911" w14:textId="722FD416" w:rsidR="000C12F8" w:rsidRPr="00C835C3" w:rsidRDefault="00E72126" w:rsidP="000C12F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Cs w:val="22"/>
        </w:rPr>
      </w:pPr>
      <w:r w:rsidRPr="00E72126">
        <w:rPr>
          <w:rFonts w:eastAsia="Calibri" w:cs="Arial"/>
          <w:bCs/>
          <w:szCs w:val="22"/>
        </w:rPr>
        <w:t>5</w:t>
      </w:r>
      <w:r w:rsidR="000C12F8" w:rsidRPr="00E72126">
        <w:rPr>
          <w:rFonts w:eastAsia="Calibri" w:cs="Arial"/>
          <w:bCs/>
          <w:szCs w:val="22"/>
        </w:rPr>
        <w:t>.2.</w:t>
      </w:r>
      <w:r w:rsidR="000C12F8" w:rsidRPr="00C835C3">
        <w:rPr>
          <w:rFonts w:eastAsia="Calibri" w:cs="Arial"/>
          <w:szCs w:val="22"/>
        </w:rPr>
        <w:t xml:space="preserve"> Ocorrendo atraso no pagamento por parte e culpa da CONTRATANTE, ou seja, após o 5º dia útil da liquidação, os valores poderão ser corrigidos com base no percentual acumulado do IPCA, referente aos últimos 12 meses apurados.</w:t>
      </w:r>
    </w:p>
    <w:p w14:paraId="7D2DDB0D" w14:textId="77777777" w:rsidR="000C12F8" w:rsidRPr="00C835C3" w:rsidRDefault="000C12F8" w:rsidP="000C12F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Cs w:val="22"/>
        </w:rPr>
      </w:pPr>
    </w:p>
    <w:p w14:paraId="633985AB" w14:textId="1BA33845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0C12F8" w:rsidRPr="00C835C3">
        <w:rPr>
          <w:rFonts w:cs="Arial"/>
          <w:b/>
          <w:szCs w:val="22"/>
        </w:rPr>
        <w:t>. CANCELAMENTO DO REGISTRO DE LICITANTE E DO PREÇO REGISTRADO</w:t>
      </w:r>
    </w:p>
    <w:p w14:paraId="30C9EC61" w14:textId="5D1BB665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 xml:space="preserve">.1 O licitante que teve seu preço registrado poderá ter seu </w:t>
      </w:r>
      <w:r w:rsidR="000C12F8" w:rsidRPr="00C835C3">
        <w:rPr>
          <w:rFonts w:cs="Arial"/>
          <w:b/>
          <w:bCs/>
          <w:szCs w:val="22"/>
        </w:rPr>
        <w:t>registro cancelado</w:t>
      </w:r>
      <w:r w:rsidR="000C12F8" w:rsidRPr="00C835C3">
        <w:rPr>
          <w:rFonts w:cs="Arial"/>
          <w:szCs w:val="22"/>
        </w:rPr>
        <w:t xml:space="preserve"> da presente Ata, </w:t>
      </w:r>
      <w:r w:rsidR="000C12F8" w:rsidRPr="00C835C3">
        <w:rPr>
          <w:rFonts w:cs="Arial"/>
          <w:b/>
          <w:bCs/>
          <w:szCs w:val="22"/>
          <w:u w:val="single"/>
        </w:rPr>
        <w:t>com consequente aplicação das penalidades</w:t>
      </w:r>
      <w:r w:rsidR="000C12F8" w:rsidRPr="00C835C3">
        <w:rPr>
          <w:rFonts w:cs="Arial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4D7E175C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lastRenderedPageBreak/>
        <w:t>a) quando o fornecedor descumprir as condições da ata de registro de preços sem motivo justificado;</w:t>
      </w:r>
    </w:p>
    <w:p w14:paraId="79530141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00641CD8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1BB33242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d) quando o fornecedor sofrer a sanção prevista nos incisos III ou IV do caput do art. 156 da Lei Federal nº 14.133/2021.</w:t>
      </w:r>
    </w:p>
    <w:p w14:paraId="449BD2C3" w14:textId="777FF1CE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 xml:space="preserve">.2 O licitante que teve seu preço registrado poderá ter seu </w:t>
      </w:r>
      <w:r w:rsidR="000C12F8" w:rsidRPr="00C835C3">
        <w:rPr>
          <w:rFonts w:cs="Arial"/>
          <w:b/>
          <w:bCs/>
          <w:szCs w:val="22"/>
        </w:rPr>
        <w:t>registro cancelado</w:t>
      </w:r>
      <w:r w:rsidR="000C12F8" w:rsidRPr="00C835C3">
        <w:rPr>
          <w:rFonts w:cs="Arial"/>
          <w:szCs w:val="22"/>
        </w:rPr>
        <w:t xml:space="preserve"> da presente Ata, </w:t>
      </w:r>
      <w:r w:rsidR="000C12F8" w:rsidRPr="00C835C3">
        <w:rPr>
          <w:rFonts w:cs="Arial"/>
          <w:b/>
          <w:bCs/>
          <w:szCs w:val="22"/>
          <w:u w:val="single"/>
        </w:rPr>
        <w:t>sem aplicação das penalidades</w:t>
      </w:r>
      <w:r w:rsidR="000C12F8" w:rsidRPr="00C835C3">
        <w:rPr>
          <w:rFonts w:cs="Arial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8F16153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4F2F88DD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 xml:space="preserve">b) falecimento do registrado. </w:t>
      </w:r>
    </w:p>
    <w:p w14:paraId="6DA26CB6" w14:textId="145FAE9F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>.3 O cancelamento do registro nas hipóteses previstas no item 7.1 será formalizado por despacho da Administração, garantidos os princípios do contraditório e da ampla defesa.</w:t>
      </w:r>
    </w:p>
    <w:p w14:paraId="0B316793" w14:textId="59CF40C1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>.4 Na hipótese de cancelamento do registro de fornecedor, a Administração poderá convocar os demais licitantes registrados em ata, em ordem de classificação.</w:t>
      </w:r>
    </w:p>
    <w:p w14:paraId="015F23C9" w14:textId="73F9A346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 xml:space="preserve">.5 O licitante que teve seu preço registrado poderá ter o </w:t>
      </w:r>
      <w:r w:rsidR="000C12F8" w:rsidRPr="00C835C3">
        <w:rPr>
          <w:rFonts w:cs="Arial"/>
          <w:b/>
          <w:bCs/>
          <w:szCs w:val="22"/>
        </w:rPr>
        <w:t>cancelamento dos preços</w:t>
      </w:r>
      <w:r w:rsidR="000C12F8" w:rsidRPr="00C835C3">
        <w:rPr>
          <w:rFonts w:cs="Arial"/>
          <w:szCs w:val="22"/>
        </w:rPr>
        <w:t xml:space="preserve"> registrados da presente Ata, </w:t>
      </w:r>
      <w:r w:rsidR="000C12F8" w:rsidRPr="00C835C3">
        <w:rPr>
          <w:rFonts w:cs="Arial"/>
          <w:b/>
          <w:bCs/>
          <w:szCs w:val="22"/>
          <w:u w:val="single"/>
        </w:rPr>
        <w:t>sem a consequente aplicação das penalidades</w:t>
      </w:r>
      <w:r w:rsidR="000C12F8" w:rsidRPr="00C835C3">
        <w:rPr>
          <w:rFonts w:cs="Arial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39EC7E08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 xml:space="preserve">a) quando por razão de interesse público; </w:t>
      </w:r>
    </w:p>
    <w:p w14:paraId="40ABD299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 xml:space="preserve">b) quando a pedido do fornecedor, decorrente de caso fortuito ou força maior; </w:t>
      </w:r>
    </w:p>
    <w:p w14:paraId="1ABB06C9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14000046" w14:textId="66B09253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0C12F8" w:rsidRPr="00C835C3">
        <w:rPr>
          <w:rFonts w:cs="Arial"/>
          <w:szCs w:val="22"/>
        </w:rPr>
        <w:t>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5F173A32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192075EB" w14:textId="1FE41A98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0C12F8" w:rsidRPr="00C835C3">
        <w:rPr>
          <w:rFonts w:cs="Arial"/>
          <w:b/>
          <w:szCs w:val="22"/>
        </w:rPr>
        <w:t>. PENALIDADES E SANÇÕES ADMINISTRATIVAS</w:t>
      </w:r>
    </w:p>
    <w:p w14:paraId="0D58857A" w14:textId="12D01612" w:rsidR="000C12F8" w:rsidRPr="00C835C3" w:rsidRDefault="00E72126" w:rsidP="000C12F8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0C12F8" w:rsidRPr="00C835C3">
        <w:rPr>
          <w:rFonts w:cs="Arial"/>
          <w:szCs w:val="22"/>
        </w:rPr>
        <w:t>.1 No caso de infrações, as empresas registradas poderão ser responsabilizadas administrativamente e estão sujeitas às sanções previstas no Edital de Licitação Pregão Eletrônico nº 042/2025.</w:t>
      </w:r>
    </w:p>
    <w:p w14:paraId="18054947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</w:p>
    <w:p w14:paraId="1874D9B7" w14:textId="77777777" w:rsidR="006B0B34" w:rsidRDefault="006B0B34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</w:p>
    <w:p w14:paraId="1DD8E5DD" w14:textId="331A712F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8</w:t>
      </w:r>
      <w:r w:rsidR="000C12F8" w:rsidRPr="00C835C3">
        <w:rPr>
          <w:rFonts w:cs="Arial"/>
          <w:b/>
          <w:szCs w:val="22"/>
        </w:rPr>
        <w:t>. FISCALIZAÇÃO</w:t>
      </w:r>
    </w:p>
    <w:p w14:paraId="24F70430" w14:textId="6BE06DB4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0C12F8" w:rsidRPr="00C835C3">
        <w:rPr>
          <w:rFonts w:cs="Arial"/>
          <w:szCs w:val="22"/>
        </w:rPr>
        <w:t xml:space="preserve">.1 Cabe ao servidor </w:t>
      </w:r>
      <w:r w:rsidR="000C12F8">
        <w:rPr>
          <w:rFonts w:cs="Arial"/>
          <w:szCs w:val="22"/>
        </w:rPr>
        <w:t>Marcelino Rebellatto</w:t>
      </w:r>
      <w:r w:rsidR="000C12F8" w:rsidRPr="00C835C3">
        <w:rPr>
          <w:rFonts w:cs="Arial"/>
          <w:szCs w:val="22"/>
        </w:rPr>
        <w:t xml:space="preserve"> 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3368620E" w14:textId="1D22B06B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0C12F8" w:rsidRPr="00C835C3">
        <w:rPr>
          <w:rFonts w:cs="Arial"/>
          <w:szCs w:val="22"/>
        </w:rPr>
        <w:t>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46868AE7" w14:textId="0695AD60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0C12F8" w:rsidRPr="00C835C3">
        <w:rPr>
          <w:rFonts w:cs="Arial"/>
          <w:szCs w:val="22"/>
        </w:rPr>
        <w:t>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328B9543" w14:textId="3989F4D3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color w:val="FF0000"/>
          <w:szCs w:val="22"/>
        </w:rPr>
      </w:pPr>
      <w:r>
        <w:rPr>
          <w:rFonts w:cs="Arial"/>
          <w:szCs w:val="22"/>
        </w:rPr>
        <w:t>8</w:t>
      </w:r>
      <w:r w:rsidR="000C12F8" w:rsidRPr="00C835C3">
        <w:rPr>
          <w:rFonts w:cs="Arial"/>
          <w:szCs w:val="22"/>
        </w:rPr>
        <w:t xml:space="preserve">.4 O OG promoverá ampla pesquisa no mercado em periodicidade </w:t>
      </w:r>
      <w:r w:rsidR="000C12F8">
        <w:rPr>
          <w:rFonts w:cs="Arial"/>
          <w:szCs w:val="22"/>
        </w:rPr>
        <w:t>anual, em caso de prorrogação da ata</w:t>
      </w:r>
      <w:r w:rsidR="000C12F8" w:rsidRPr="00C835C3">
        <w:rPr>
          <w:rFonts w:cs="Arial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2FEA00E9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color w:val="FF0000"/>
          <w:szCs w:val="22"/>
        </w:rPr>
      </w:pPr>
    </w:p>
    <w:p w14:paraId="3F31AEC1" w14:textId="2C3E880B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0C12F8" w:rsidRPr="00C835C3">
        <w:rPr>
          <w:rFonts w:cs="Arial"/>
          <w:b/>
          <w:szCs w:val="22"/>
        </w:rPr>
        <w:t>. CASOS FORTUITOS OU DE FORÇA MAIOR</w:t>
      </w:r>
    </w:p>
    <w:p w14:paraId="700A0038" w14:textId="60EABA69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>
        <w:rPr>
          <w:rFonts w:cs="Arial"/>
          <w:szCs w:val="22"/>
        </w:rPr>
        <w:t>9</w:t>
      </w:r>
      <w:r w:rsidR="000C12F8" w:rsidRPr="00C835C3">
        <w:rPr>
          <w:rFonts w:cs="Arial"/>
          <w:szCs w:val="22"/>
        </w:rPr>
        <w:t>.1 Serão considerados casos fortuitos ou de força maior, para efeito de cancelamento da Ata de Registro de Preços ou de não aplicação de sanções, os inadimplementos decorrentes das situações a seguir:</w:t>
      </w:r>
    </w:p>
    <w:p w14:paraId="4AB769F1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a) greve geral;</w:t>
      </w:r>
    </w:p>
    <w:p w14:paraId="7968174B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b) calamidade pública;</w:t>
      </w:r>
    </w:p>
    <w:p w14:paraId="295282CC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c) interrupção dos meios de transporte;</w:t>
      </w:r>
    </w:p>
    <w:p w14:paraId="5D708AF9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d) condições meteorológicas excepcionalmente prejudiciais; e</w:t>
      </w:r>
    </w:p>
    <w:p w14:paraId="41905B82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e) outros casos que se enquadrem no parágrafo único do art. 393, do Código Civil Brasileiro (Lei nº 10.406/2002).</w:t>
      </w:r>
    </w:p>
    <w:p w14:paraId="5A135707" w14:textId="5D75161A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0C12F8" w:rsidRPr="00C835C3">
        <w:rPr>
          <w:rFonts w:cs="Arial"/>
          <w:szCs w:val="22"/>
        </w:rPr>
        <w:t>.2 Os casos acima enumerados devem ser satisfatoriamente justificados pelo fornecedor.</w:t>
      </w:r>
    </w:p>
    <w:p w14:paraId="32FE885A" w14:textId="568CDD19" w:rsidR="000C12F8" w:rsidRPr="00C835C3" w:rsidRDefault="00E72126" w:rsidP="000C12F8">
      <w:pPr>
        <w:tabs>
          <w:tab w:val="left" w:pos="2268"/>
        </w:tabs>
        <w:spacing w:before="120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0C12F8" w:rsidRPr="00C835C3">
        <w:rPr>
          <w:rFonts w:cs="Arial"/>
          <w:szCs w:val="22"/>
        </w:rPr>
        <w:t>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69C1B23E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46DFF4A7" w14:textId="3C451B05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t>1</w:t>
      </w:r>
      <w:r w:rsidR="00E72126">
        <w:rPr>
          <w:rFonts w:cs="Arial"/>
          <w:b/>
          <w:szCs w:val="22"/>
        </w:rPr>
        <w:t>0</w:t>
      </w:r>
      <w:r w:rsidRPr="00C835C3">
        <w:rPr>
          <w:rFonts w:cs="Arial"/>
          <w:b/>
          <w:szCs w:val="22"/>
        </w:rPr>
        <w:t>. DOTAÇÃO ORÇAMENTÁRIA:</w:t>
      </w:r>
    </w:p>
    <w:tbl>
      <w:tblPr>
        <w:tblW w:w="94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616"/>
        <w:gridCol w:w="6690"/>
      </w:tblGrid>
      <w:tr w:rsidR="000C12F8" w:rsidRPr="004B1306" w14:paraId="7641192D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18B97560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ÓRGÃO</w:t>
            </w:r>
          </w:p>
        </w:tc>
        <w:tc>
          <w:tcPr>
            <w:tcW w:w="616" w:type="dxa"/>
            <w:noWrap/>
            <w:vAlign w:val="center"/>
            <w:hideMark/>
          </w:tcPr>
          <w:p w14:paraId="1DD89B06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06</w:t>
            </w:r>
          </w:p>
        </w:tc>
        <w:tc>
          <w:tcPr>
            <w:tcW w:w="6690" w:type="dxa"/>
            <w:vAlign w:val="center"/>
            <w:hideMark/>
          </w:tcPr>
          <w:p w14:paraId="19C00308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SECRETARIA MUNICIPAL DE SAÚDE E ASSISTÊNCIA SOCIAL</w:t>
            </w:r>
          </w:p>
        </w:tc>
      </w:tr>
      <w:tr w:rsidR="000C12F8" w:rsidRPr="004B1306" w14:paraId="67F4217E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3A6FDA4B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616" w:type="dxa"/>
            <w:noWrap/>
            <w:vAlign w:val="center"/>
            <w:hideMark/>
          </w:tcPr>
          <w:p w14:paraId="70164E54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01</w:t>
            </w:r>
          </w:p>
        </w:tc>
        <w:tc>
          <w:tcPr>
            <w:tcW w:w="6690" w:type="dxa"/>
            <w:vAlign w:val="center"/>
            <w:hideMark/>
          </w:tcPr>
          <w:p w14:paraId="22C7D99D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FUNDO MUNICIPAL DE SAÚDE</w:t>
            </w:r>
          </w:p>
        </w:tc>
      </w:tr>
      <w:tr w:rsidR="000C12F8" w:rsidRPr="004B1306" w14:paraId="617C9634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1BB5C73A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ATIVIDADE</w:t>
            </w:r>
          </w:p>
        </w:tc>
        <w:tc>
          <w:tcPr>
            <w:tcW w:w="616" w:type="dxa"/>
            <w:noWrap/>
            <w:vAlign w:val="center"/>
            <w:hideMark/>
          </w:tcPr>
          <w:p w14:paraId="27A8B77E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2055</w:t>
            </w:r>
          </w:p>
        </w:tc>
        <w:tc>
          <w:tcPr>
            <w:tcW w:w="6690" w:type="dxa"/>
            <w:vAlign w:val="center"/>
            <w:hideMark/>
          </w:tcPr>
          <w:p w14:paraId="0E9411D3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Manutenção da Assistência à Saúde na Rede Local</w:t>
            </w:r>
          </w:p>
        </w:tc>
      </w:tr>
      <w:tr w:rsidR="000C12F8" w:rsidRPr="004B1306" w14:paraId="54417D4A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039B3ED5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FR STN</w:t>
            </w:r>
          </w:p>
        </w:tc>
        <w:tc>
          <w:tcPr>
            <w:tcW w:w="616" w:type="dxa"/>
            <w:noWrap/>
            <w:vAlign w:val="center"/>
            <w:hideMark/>
          </w:tcPr>
          <w:p w14:paraId="75C6211B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0500</w:t>
            </w:r>
          </w:p>
        </w:tc>
        <w:tc>
          <w:tcPr>
            <w:tcW w:w="6690" w:type="dxa"/>
            <w:vAlign w:val="center"/>
            <w:hideMark/>
          </w:tcPr>
          <w:p w14:paraId="4CF0FDB2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Recursos não Vinculados de Impostos</w:t>
            </w:r>
          </w:p>
        </w:tc>
      </w:tr>
      <w:tr w:rsidR="000C12F8" w:rsidRPr="004B1306" w14:paraId="49DAE9C8" w14:textId="77777777" w:rsidTr="004B6979">
        <w:trPr>
          <w:trHeight w:val="170"/>
        </w:trPr>
        <w:tc>
          <w:tcPr>
            <w:tcW w:w="2096" w:type="dxa"/>
            <w:noWrap/>
            <w:vAlign w:val="bottom"/>
            <w:hideMark/>
          </w:tcPr>
          <w:p w14:paraId="6F7061BD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CO STN</w:t>
            </w:r>
          </w:p>
        </w:tc>
        <w:tc>
          <w:tcPr>
            <w:tcW w:w="616" w:type="dxa"/>
            <w:noWrap/>
            <w:vAlign w:val="bottom"/>
            <w:hideMark/>
          </w:tcPr>
          <w:p w14:paraId="4562720A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1002</w:t>
            </w:r>
          </w:p>
        </w:tc>
        <w:tc>
          <w:tcPr>
            <w:tcW w:w="6690" w:type="dxa"/>
            <w:vAlign w:val="bottom"/>
            <w:hideMark/>
          </w:tcPr>
          <w:p w14:paraId="6CBDD680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Identificação das despesas com ações e serviços públicos de saúde</w:t>
            </w:r>
          </w:p>
        </w:tc>
      </w:tr>
      <w:tr w:rsidR="000C12F8" w:rsidRPr="004B1306" w14:paraId="4F50EA00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6E476C1B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FR GERENCIAL</w:t>
            </w:r>
          </w:p>
        </w:tc>
        <w:tc>
          <w:tcPr>
            <w:tcW w:w="616" w:type="dxa"/>
            <w:noWrap/>
            <w:vAlign w:val="center"/>
            <w:hideMark/>
          </w:tcPr>
          <w:p w14:paraId="450B2877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0040</w:t>
            </w:r>
          </w:p>
        </w:tc>
        <w:tc>
          <w:tcPr>
            <w:tcW w:w="6690" w:type="dxa"/>
            <w:vAlign w:val="center"/>
            <w:hideMark/>
          </w:tcPr>
          <w:p w14:paraId="581C435B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ASPS</w:t>
            </w:r>
          </w:p>
        </w:tc>
      </w:tr>
      <w:tr w:rsidR="000C12F8" w:rsidRPr="004B1306" w14:paraId="09AB0567" w14:textId="77777777" w:rsidTr="004B6979">
        <w:trPr>
          <w:trHeight w:val="170"/>
        </w:trPr>
        <w:tc>
          <w:tcPr>
            <w:tcW w:w="2096" w:type="dxa"/>
            <w:noWrap/>
            <w:vAlign w:val="center"/>
            <w:hideMark/>
          </w:tcPr>
          <w:p w14:paraId="6E2DEA13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3.3.90.30.10.00.00.00</w:t>
            </w:r>
          </w:p>
        </w:tc>
        <w:tc>
          <w:tcPr>
            <w:tcW w:w="616" w:type="dxa"/>
            <w:noWrap/>
            <w:vAlign w:val="center"/>
            <w:hideMark/>
          </w:tcPr>
          <w:p w14:paraId="7279C034" w14:textId="77777777" w:rsidR="000C12F8" w:rsidRPr="004B1306" w:rsidRDefault="000C12F8" w:rsidP="008D461B">
            <w:pPr>
              <w:jc w:val="right"/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6154</w:t>
            </w:r>
          </w:p>
        </w:tc>
        <w:tc>
          <w:tcPr>
            <w:tcW w:w="6690" w:type="dxa"/>
            <w:vAlign w:val="center"/>
            <w:hideMark/>
          </w:tcPr>
          <w:p w14:paraId="43CF7AE9" w14:textId="77777777" w:rsidR="000C12F8" w:rsidRPr="004B1306" w:rsidRDefault="000C12F8" w:rsidP="008D461B">
            <w:pPr>
              <w:rPr>
                <w:rFonts w:cs="Arial"/>
                <w:sz w:val="20"/>
              </w:rPr>
            </w:pPr>
            <w:r w:rsidRPr="004B1306">
              <w:rPr>
                <w:rFonts w:cs="Arial"/>
                <w:sz w:val="20"/>
              </w:rPr>
              <w:t>MATERIAL ODONTOLOGICO</w:t>
            </w:r>
          </w:p>
        </w:tc>
      </w:tr>
    </w:tbl>
    <w:p w14:paraId="00FB0236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3890712A" w14:textId="70BB7E2A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lastRenderedPageBreak/>
        <w:t>1</w:t>
      </w:r>
      <w:r w:rsidR="00E72126">
        <w:rPr>
          <w:rFonts w:cs="Arial"/>
          <w:b/>
          <w:szCs w:val="22"/>
        </w:rPr>
        <w:t>1</w:t>
      </w:r>
      <w:r w:rsidRPr="00C835C3">
        <w:rPr>
          <w:rFonts w:cs="Arial"/>
          <w:b/>
          <w:szCs w:val="22"/>
        </w:rPr>
        <w:t>. FORO</w:t>
      </w:r>
    </w:p>
    <w:p w14:paraId="18521DCC" w14:textId="3EE9345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1</w:t>
      </w:r>
      <w:r w:rsidR="00E72126">
        <w:rPr>
          <w:rFonts w:cs="Arial"/>
          <w:szCs w:val="22"/>
        </w:rPr>
        <w:t>1</w:t>
      </w:r>
      <w:r w:rsidRPr="00C835C3">
        <w:rPr>
          <w:rFonts w:cs="Arial"/>
          <w:szCs w:val="22"/>
        </w:rPr>
        <w:t>.1 Para a resolução de possíveis divergências entre as partes, oriundas da presente Ata, fica eleito o Foro da Comarca de Garibaldi/RS.</w:t>
      </w:r>
    </w:p>
    <w:p w14:paraId="214DC944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</w:p>
    <w:p w14:paraId="402F0B59" w14:textId="264DE241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b/>
          <w:szCs w:val="22"/>
        </w:rPr>
      </w:pPr>
      <w:r w:rsidRPr="00C835C3">
        <w:rPr>
          <w:rFonts w:cs="Arial"/>
          <w:b/>
          <w:szCs w:val="22"/>
        </w:rPr>
        <w:t>1</w:t>
      </w:r>
      <w:r w:rsidR="00E72126">
        <w:rPr>
          <w:rFonts w:cs="Arial"/>
          <w:b/>
          <w:szCs w:val="22"/>
        </w:rPr>
        <w:t>2</w:t>
      </w:r>
      <w:r w:rsidRPr="00C835C3">
        <w:rPr>
          <w:rFonts w:cs="Arial"/>
          <w:b/>
          <w:szCs w:val="22"/>
        </w:rPr>
        <w:t>. CÓPIAS</w:t>
      </w:r>
    </w:p>
    <w:p w14:paraId="67D32068" w14:textId="7A62077A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>1</w:t>
      </w:r>
      <w:r w:rsidR="00E72126">
        <w:rPr>
          <w:rFonts w:cs="Arial"/>
          <w:szCs w:val="22"/>
        </w:rPr>
        <w:t>2</w:t>
      </w:r>
      <w:r w:rsidRPr="00C835C3">
        <w:rPr>
          <w:rFonts w:cs="Arial"/>
          <w:szCs w:val="22"/>
        </w:rPr>
        <w:t>.1 Da presente Ata são extraídas as seguintes cópias:</w:t>
      </w:r>
    </w:p>
    <w:p w14:paraId="298F3623" w14:textId="77777777" w:rsidR="000C12F8" w:rsidRPr="00C835C3" w:rsidRDefault="000C12F8" w:rsidP="000C12F8">
      <w:pPr>
        <w:tabs>
          <w:tab w:val="left" w:pos="2268"/>
        </w:tabs>
        <w:rPr>
          <w:rFonts w:cs="Arial"/>
          <w:szCs w:val="22"/>
        </w:rPr>
      </w:pPr>
      <w:r w:rsidRPr="00C835C3">
        <w:rPr>
          <w:rFonts w:cs="Arial"/>
          <w:szCs w:val="22"/>
        </w:rPr>
        <w:t>a) uma para o OG;</w:t>
      </w:r>
    </w:p>
    <w:p w14:paraId="761C95F5" w14:textId="77777777" w:rsidR="000C12F8" w:rsidRPr="00C835C3" w:rsidRDefault="000C12F8" w:rsidP="000C12F8">
      <w:pPr>
        <w:tabs>
          <w:tab w:val="left" w:pos="2268"/>
        </w:tabs>
        <w:rPr>
          <w:rFonts w:cs="Arial"/>
          <w:szCs w:val="22"/>
        </w:rPr>
      </w:pPr>
      <w:r w:rsidRPr="00C835C3">
        <w:rPr>
          <w:rFonts w:cs="Arial"/>
          <w:szCs w:val="22"/>
        </w:rPr>
        <w:t>b) uma para a empresa registrada;</w:t>
      </w:r>
    </w:p>
    <w:p w14:paraId="41B1CF84" w14:textId="77777777" w:rsidR="000C12F8" w:rsidRPr="00C835C3" w:rsidRDefault="000C12F8" w:rsidP="000C12F8">
      <w:pPr>
        <w:tabs>
          <w:tab w:val="left" w:pos="2268"/>
        </w:tabs>
        <w:rPr>
          <w:rFonts w:cs="Arial"/>
          <w:szCs w:val="22"/>
        </w:rPr>
      </w:pPr>
      <w:r w:rsidRPr="00C835C3">
        <w:rPr>
          <w:rFonts w:cs="Arial"/>
          <w:szCs w:val="22"/>
        </w:rPr>
        <w:t>c) uma para publicação no PNCP; e</w:t>
      </w:r>
    </w:p>
    <w:p w14:paraId="5D72CA00" w14:textId="77777777" w:rsidR="000C12F8" w:rsidRPr="00C835C3" w:rsidRDefault="000C12F8" w:rsidP="000C12F8">
      <w:pPr>
        <w:tabs>
          <w:tab w:val="left" w:pos="2268"/>
        </w:tabs>
        <w:rPr>
          <w:rFonts w:cs="Arial"/>
          <w:szCs w:val="22"/>
        </w:rPr>
      </w:pPr>
      <w:r w:rsidRPr="00C835C3">
        <w:rPr>
          <w:rFonts w:cs="Arial"/>
          <w:szCs w:val="22"/>
        </w:rPr>
        <w:t>d) uma para o OP.</w:t>
      </w:r>
    </w:p>
    <w:p w14:paraId="17BC540B" w14:textId="77777777" w:rsidR="000C12F8" w:rsidRPr="00C835C3" w:rsidRDefault="000C12F8" w:rsidP="000C12F8">
      <w:pPr>
        <w:tabs>
          <w:tab w:val="left" w:pos="2268"/>
        </w:tabs>
        <w:spacing w:before="120"/>
        <w:rPr>
          <w:rFonts w:cs="Arial"/>
          <w:szCs w:val="22"/>
        </w:rPr>
      </w:pPr>
      <w:r w:rsidRPr="00C835C3">
        <w:rPr>
          <w:rFonts w:cs="Arial"/>
          <w:szCs w:val="22"/>
        </w:rPr>
        <w:tab/>
      </w:r>
    </w:p>
    <w:p w14:paraId="5EF4AC94" w14:textId="2EF0EF02" w:rsidR="00EC2C22" w:rsidRPr="00232AEE" w:rsidRDefault="000C12F8" w:rsidP="000C12F8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C835C3">
        <w:rPr>
          <w:rFonts w:cs="Arial"/>
          <w:szCs w:val="22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24CE031F" w14:textId="2299378B" w:rsidR="008D6A03" w:rsidRPr="00232AEE" w:rsidRDefault="008D6A0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Boa Vista do Sul, </w:t>
      </w:r>
      <w:r w:rsidR="000C12F8">
        <w:rPr>
          <w:rFonts w:cs="Arial"/>
          <w:sz w:val="22"/>
          <w:szCs w:val="22"/>
          <w:lang w:eastAsia="ar-SA"/>
        </w:rPr>
        <w:t>04</w:t>
      </w:r>
      <w:r w:rsidR="007E512C" w:rsidRPr="00232AEE">
        <w:rPr>
          <w:rFonts w:cs="Arial"/>
          <w:sz w:val="22"/>
          <w:szCs w:val="22"/>
          <w:lang w:eastAsia="ar-SA"/>
        </w:rPr>
        <w:t xml:space="preserve"> de </w:t>
      </w:r>
      <w:r w:rsidR="000C12F8">
        <w:rPr>
          <w:rFonts w:cs="Arial"/>
          <w:sz w:val="22"/>
          <w:szCs w:val="22"/>
          <w:lang w:eastAsia="ar-SA"/>
        </w:rPr>
        <w:t>setembro</w:t>
      </w:r>
      <w:r w:rsidR="007E512C" w:rsidRPr="00232AEE">
        <w:rPr>
          <w:rFonts w:cs="Arial"/>
          <w:sz w:val="22"/>
          <w:szCs w:val="22"/>
          <w:lang w:eastAsia="ar-SA"/>
        </w:rPr>
        <w:t xml:space="preserve"> de</w:t>
      </w:r>
      <w:r w:rsidR="001B1D63" w:rsidRPr="00232AEE">
        <w:rPr>
          <w:rFonts w:cs="Arial"/>
          <w:sz w:val="22"/>
          <w:szCs w:val="22"/>
          <w:lang w:eastAsia="ar-SA"/>
        </w:rPr>
        <w:t xml:space="preserve"> 2025</w:t>
      </w:r>
      <w:r w:rsidRPr="00232AEE">
        <w:rPr>
          <w:rFonts w:cs="Arial"/>
          <w:sz w:val="22"/>
          <w:szCs w:val="22"/>
          <w:lang w:eastAsia="ar-SA"/>
        </w:rPr>
        <w:t>.</w:t>
      </w:r>
    </w:p>
    <w:p w14:paraId="7FEFEB48" w14:textId="77777777" w:rsidR="001B1D63" w:rsidRPr="00232AEE" w:rsidRDefault="001B1D63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C741DFD" w14:textId="77777777" w:rsidR="004F0768" w:rsidRDefault="004F0768" w:rsidP="007A650E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B063262" w14:textId="77777777" w:rsidR="00E72126" w:rsidRDefault="00E72126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</w:p>
    <w:p w14:paraId="48096128" w14:textId="77777777" w:rsidR="00E72126" w:rsidRDefault="00E72126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</w:pPr>
    </w:p>
    <w:p w14:paraId="5606A0FE" w14:textId="77777777" w:rsidR="00E72126" w:rsidRDefault="00E72126" w:rsidP="007A650E">
      <w:pPr>
        <w:tabs>
          <w:tab w:val="left" w:pos="2268"/>
        </w:tabs>
        <w:spacing w:line="200" w:lineRule="atLeast"/>
        <w:rPr>
          <w:rFonts w:cs="Arial"/>
          <w:color w:val="000000" w:themeColor="text1"/>
          <w:sz w:val="22"/>
          <w:szCs w:val="22"/>
          <w:lang w:eastAsia="ar-SA"/>
        </w:rPr>
        <w:sectPr w:rsidR="00E72126" w:rsidSect="00E72126">
          <w:headerReference w:type="default" r:id="rId8"/>
          <w:footerReference w:type="default" r:id="rId9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4B70334" w14:textId="4883C302" w:rsidR="009F4D92" w:rsidRPr="00232AEE" w:rsidRDefault="00787772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color w:val="000000" w:themeColor="text1"/>
          <w:sz w:val="22"/>
          <w:szCs w:val="22"/>
          <w:lang w:eastAsia="ar-SA"/>
        </w:rPr>
        <w:t>________</w:t>
      </w:r>
      <w:r w:rsidR="009F4D92" w:rsidRPr="00232AEE">
        <w:rPr>
          <w:rFonts w:cs="Arial"/>
          <w:color w:val="000000" w:themeColor="text1"/>
          <w:sz w:val="22"/>
          <w:szCs w:val="22"/>
          <w:lang w:eastAsia="ar-SA"/>
        </w:rPr>
        <w:t>__________</w:t>
      </w:r>
      <w:r w:rsidRPr="00232AEE">
        <w:rPr>
          <w:rFonts w:cs="Arial"/>
          <w:color w:val="000000" w:themeColor="text1"/>
          <w:sz w:val="22"/>
          <w:szCs w:val="22"/>
          <w:lang w:eastAsia="ar-SA"/>
        </w:rPr>
        <w:t>________________</w:t>
      </w:r>
    </w:p>
    <w:p w14:paraId="3DD7CECC" w14:textId="77777777" w:rsidR="00E72126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  <w:sectPr w:rsidR="00E72126" w:rsidSect="00E7212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0A8FACC" w14:textId="01DCECC9" w:rsidR="00787772" w:rsidRPr="00232AEE" w:rsidRDefault="000C12F8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0C12F8">
        <w:rPr>
          <w:rFonts w:cs="Arial"/>
          <w:sz w:val="22"/>
          <w:szCs w:val="22"/>
        </w:rPr>
        <w:t>Marcelino Rebellatto</w:t>
      </w:r>
    </w:p>
    <w:p w14:paraId="1831BC91" w14:textId="13749252" w:rsidR="009F4D92" w:rsidRDefault="008D6A03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color w:val="000000" w:themeColor="text1"/>
          <w:sz w:val="22"/>
          <w:szCs w:val="22"/>
          <w:lang w:eastAsia="ar-SA"/>
        </w:rPr>
        <w:t>Órgão Gerenciador</w:t>
      </w:r>
    </w:p>
    <w:p w14:paraId="0DB2AF9D" w14:textId="77777777" w:rsidR="00E72126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</w:p>
    <w:p w14:paraId="15B188C6" w14:textId="77777777" w:rsidR="00E72126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</w:p>
    <w:p w14:paraId="55E80CA2" w14:textId="77777777" w:rsidR="00E72126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</w:p>
    <w:p w14:paraId="2126B314" w14:textId="77777777" w:rsidR="00E72126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</w:p>
    <w:p w14:paraId="6D030679" w14:textId="77777777" w:rsidR="00E72126" w:rsidRPr="00232AEE" w:rsidRDefault="00E72126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</w:p>
    <w:p w14:paraId="1CCA3FB7" w14:textId="2AE12050" w:rsidR="008D6A03" w:rsidRPr="00232AEE" w:rsidRDefault="008D6A03" w:rsidP="00E72126">
      <w:pPr>
        <w:tabs>
          <w:tab w:val="left" w:pos="2268"/>
        </w:tabs>
        <w:spacing w:line="200" w:lineRule="atLeast"/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________________________</w:t>
      </w:r>
      <w:r w:rsidR="001B1D63" w:rsidRPr="00232AEE">
        <w:rPr>
          <w:rFonts w:cs="Arial"/>
          <w:sz w:val="22"/>
          <w:szCs w:val="22"/>
          <w:lang w:eastAsia="ar-SA"/>
        </w:rPr>
        <w:t>______</w:t>
      </w:r>
      <w:r w:rsidRPr="00232AEE">
        <w:rPr>
          <w:rFonts w:cs="Arial"/>
          <w:sz w:val="22"/>
          <w:szCs w:val="22"/>
          <w:lang w:eastAsia="ar-SA"/>
        </w:rPr>
        <w:t>____</w:t>
      </w:r>
    </w:p>
    <w:p w14:paraId="4E88FE87" w14:textId="77777777" w:rsidR="00E72126" w:rsidRDefault="008D6A03" w:rsidP="00E72126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Representante da Empres</w:t>
      </w:r>
      <w:r w:rsidR="00E72126">
        <w:rPr>
          <w:rFonts w:cs="Arial"/>
          <w:sz w:val="22"/>
          <w:szCs w:val="22"/>
          <w:lang w:eastAsia="ar-SA"/>
        </w:rPr>
        <w:t>a</w:t>
      </w:r>
    </w:p>
    <w:p w14:paraId="315C9DF4" w14:textId="77777777" w:rsidR="00E72126" w:rsidRDefault="00E72126" w:rsidP="00E72126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</w:p>
    <w:p w14:paraId="12083A0E" w14:textId="77777777" w:rsidR="00E72126" w:rsidRDefault="00E72126" w:rsidP="00E72126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</w:p>
    <w:p w14:paraId="23A1C585" w14:textId="77777777" w:rsidR="00E72126" w:rsidRDefault="00E72126" w:rsidP="00E72126">
      <w:pPr>
        <w:tabs>
          <w:tab w:val="left" w:pos="2268"/>
        </w:tabs>
        <w:spacing w:before="120" w:line="200" w:lineRule="atLeast"/>
        <w:jc w:val="center"/>
        <w:rPr>
          <w:rFonts w:cs="Arial"/>
          <w:sz w:val="22"/>
          <w:szCs w:val="22"/>
          <w:lang w:eastAsia="ar-SA"/>
        </w:rPr>
      </w:pPr>
    </w:p>
    <w:p w14:paraId="10234A79" w14:textId="77777777" w:rsidR="00E72126" w:rsidRPr="00232AEE" w:rsidRDefault="00E72126" w:rsidP="00E7212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 w:val="22"/>
          <w:szCs w:val="22"/>
          <w:lang w:eastAsia="ar-SA"/>
        </w:rPr>
        <w:t>TESTEMUNHAS:</w:t>
      </w:r>
    </w:p>
    <w:p w14:paraId="34ECBE8D" w14:textId="77777777" w:rsidR="00E72126" w:rsidRPr="00232AEE" w:rsidRDefault="00E72126" w:rsidP="00E7212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795702B5" w14:textId="77777777" w:rsidR="00E72126" w:rsidRPr="00232AEE" w:rsidRDefault="00E72126" w:rsidP="00E7212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1A0FD1A4" w14:textId="77777777" w:rsidR="00E72126" w:rsidRPr="00232AEE" w:rsidRDefault="00E72126" w:rsidP="00E72126">
      <w:pPr>
        <w:suppressAutoHyphens/>
        <w:jc w:val="lef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>_________________________________                        _________________________________</w:t>
      </w:r>
    </w:p>
    <w:p w14:paraId="6BEA4C07" w14:textId="77777777" w:rsidR="00E72126" w:rsidRPr="00232AEE" w:rsidRDefault="00E72126" w:rsidP="00E7212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232AEE">
        <w:rPr>
          <w:rFonts w:eastAsia="Arial" w:cs="Arial"/>
          <w:sz w:val="22"/>
          <w:szCs w:val="22"/>
          <w:lang w:eastAsia="ar-SA"/>
        </w:rPr>
        <w:t xml:space="preserve">Nome: </w:t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  <w:t xml:space="preserve">         Nome:</w:t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  <w:r w:rsidRPr="00232AEE">
        <w:rPr>
          <w:rFonts w:eastAsia="Arial" w:cs="Arial"/>
          <w:sz w:val="22"/>
          <w:szCs w:val="22"/>
          <w:lang w:eastAsia="ar-SA"/>
        </w:rPr>
        <w:tab/>
      </w:r>
    </w:p>
    <w:p w14:paraId="1B253EA7" w14:textId="302B9358" w:rsidR="00E72126" w:rsidRDefault="00E72126" w:rsidP="00E72126">
      <w:pPr>
        <w:tabs>
          <w:tab w:val="left" w:pos="2268"/>
        </w:tabs>
        <w:spacing w:before="120" w:line="200" w:lineRule="atLeast"/>
        <w:rPr>
          <w:rFonts w:cs="Arial"/>
          <w:sz w:val="22"/>
          <w:szCs w:val="22"/>
          <w:lang w:eastAsia="ar-SA"/>
        </w:rPr>
        <w:sectPr w:rsidR="00E72126" w:rsidSect="00E7212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  <w:r w:rsidRPr="00232AEE">
        <w:rPr>
          <w:rFonts w:eastAsia="Arial" w:cs="Arial"/>
          <w:sz w:val="22"/>
          <w:szCs w:val="22"/>
          <w:lang w:eastAsia="ar-SA"/>
        </w:rPr>
        <w:t xml:space="preserve">CPF: </w:t>
      </w:r>
      <w:r w:rsidRPr="00232AEE">
        <w:rPr>
          <w:rFonts w:eastAsia="Arial" w:cs="Arial"/>
          <w:sz w:val="22"/>
          <w:szCs w:val="22"/>
          <w:lang w:eastAsia="ar-SA"/>
        </w:rPr>
        <w:tab/>
      </w:r>
      <w:r>
        <w:rPr>
          <w:rFonts w:eastAsia="Arial" w:cs="Arial"/>
          <w:sz w:val="22"/>
          <w:szCs w:val="22"/>
          <w:lang w:eastAsia="ar-SA"/>
        </w:rPr>
        <w:t xml:space="preserve">                                                     CPF:</w:t>
      </w:r>
    </w:p>
    <w:p w14:paraId="30F07E53" w14:textId="31106032" w:rsidR="00E72126" w:rsidRPr="00E72126" w:rsidRDefault="00E72126" w:rsidP="00E7212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858"/>
        <w:tblW w:w="15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4965"/>
        <w:gridCol w:w="2268"/>
        <w:gridCol w:w="1195"/>
        <w:gridCol w:w="1499"/>
        <w:gridCol w:w="2612"/>
        <w:gridCol w:w="1740"/>
      </w:tblGrid>
      <w:tr w:rsidR="00E72126" w:rsidRPr="004B6979" w14:paraId="721D51EC" w14:textId="77777777" w:rsidTr="00E72126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1BBC6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Item 0001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7FD2F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Agulha gengival descartável, 30G, EXTRA CURTA - Caixa com 100 un. -Validade mínima de 05 anos.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8C347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de Referência: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82E0C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R$ 44,60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1B3F20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19461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B61A5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2126" w:rsidRPr="004B6979" w14:paraId="773E40C6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CAE29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5C98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Fornecedor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1D2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CPF/CNPJ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CE50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CF25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907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Modelo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BE147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Marca/Fabricante</w:t>
            </w:r>
          </w:p>
        </w:tc>
      </w:tr>
      <w:tr w:rsidR="00E72126" w:rsidRPr="004B6979" w14:paraId="3BB9EFBB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DFEC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1B1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Dentária e Dist.  Hosp.  Porto Alegrense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A164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91.083.212/0001-35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5736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A350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R$ 38,25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9EEB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INJEX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5E64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INJEX</w:t>
            </w:r>
          </w:p>
        </w:tc>
      </w:tr>
      <w:tr w:rsidR="00E72126" w:rsidRPr="004B6979" w14:paraId="7E7CA106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EA4C2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9FCA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DENTAL GUIDA COMERCIO DE MATERIAIS ODONTOLÓGICOS E FARMACÊUTICOS LTDA. - 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5BEC9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28.502.838/0001-00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D38E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49A59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R$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1FECF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Agulha gengival descartável, 30G, EXTRA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900B2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SG TECNOLOGIA</w:t>
            </w:r>
          </w:p>
        </w:tc>
      </w:tr>
      <w:tr w:rsidR="00E72126" w:rsidRPr="004B6979" w14:paraId="6797B543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A66D5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B26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YNEMED PRODUTOS MEDICOS E HOSPITALARES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D5A8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51.740.794/0001-60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8FBB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E2F5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R$ 38,58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ABAA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MEDIX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790B9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MEDIX</w:t>
            </w:r>
          </w:p>
        </w:tc>
      </w:tr>
      <w:tr w:rsidR="00E72126" w:rsidRPr="004B6979" w14:paraId="79963892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11C40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Item 0002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9AF21A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Fio de seda preta 4-0 com agulha 1.7cm para sutura – Caixa com 24 - Validade mínima de 05 anos.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469EF1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de Referência: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4C790B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R$ 46,47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CC4747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7560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0CC961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2126" w:rsidRPr="004B6979" w14:paraId="1255FD55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2AEF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CC9E5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Fornecedor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4370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CPF/CNPJ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F315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4CD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9045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Modelo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A1C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Marca/Fabricante</w:t>
            </w:r>
          </w:p>
        </w:tc>
      </w:tr>
      <w:tr w:rsidR="00E72126" w:rsidRPr="004B6979" w14:paraId="3ECE7642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60C7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15CE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Dentária e Dist.  Hosp.  Porto Alegrense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D780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91.083.212/0001-35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1674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2885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R$ 44,40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61F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MEDIX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7016D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MEDIX</w:t>
            </w:r>
          </w:p>
        </w:tc>
      </w:tr>
      <w:tr w:rsidR="00E72126" w:rsidRPr="004B6979" w14:paraId="05D85234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9CA5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282E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DENTAL GUIDA COMERCIO DE MATERIAIS ODONTOLÓGICOS E FARMACÊUTICOS LTDA. - 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3611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28.502.838/0001-00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FD58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0AA2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,4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D7BE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Fio de seda preta 4-0 com agulha 1.7cm 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8DA1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TERA</w:t>
            </w:r>
          </w:p>
        </w:tc>
      </w:tr>
      <w:tr w:rsidR="00E72126" w:rsidRPr="004B6979" w14:paraId="11B84541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639FB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Item 0003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7B28A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Material restaurador intermediário (pó 38g + liquido 15ml) – Validade mínima de 02 anos - Marca de referência Dentsply.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359AC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de Referência: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3EE95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R$ 245,00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48E77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A37E2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EABF8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2126" w:rsidRPr="004B6979" w14:paraId="67AC310F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5815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BF52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Fornecedor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890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CPF/CNPJ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9C05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5AC8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AB3C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Modelo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EAF3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Marca/Fabricante</w:t>
            </w:r>
          </w:p>
        </w:tc>
      </w:tr>
      <w:tr w:rsidR="00E72126" w:rsidRPr="004B6979" w14:paraId="2F4859FF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302E9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8527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Dentária e Dist.  Hosp.  Porto Alegrense Ltda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0136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91.083.212/0001-35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3880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B7612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R$ 45,00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55DA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IODONTOSUL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4058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IODONTOSUL</w:t>
            </w:r>
          </w:p>
        </w:tc>
      </w:tr>
      <w:tr w:rsidR="00E72126" w:rsidRPr="004B6979" w14:paraId="46CC1A52" w14:textId="77777777" w:rsidTr="00E72126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4B8E" w14:textId="3F19463F" w:rsidR="00E72126" w:rsidRPr="004B6979" w:rsidRDefault="00672ED8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C37BC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DENTAL GUIDA COMERCIO DE MATERIAIS ODONTOLÓGICOS E FARMACÊUTICOS LTDA. - 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32D7E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28.502.838/0001-00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520E6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0780" w14:textId="77777777" w:rsidR="00E72126" w:rsidRPr="004B6979" w:rsidRDefault="00E72126" w:rsidP="00E72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R$ 245,00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87B5C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Material restaurador  (IRM)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6BA9" w14:textId="77777777" w:rsidR="00E72126" w:rsidRPr="004B6979" w:rsidRDefault="00E72126" w:rsidP="00E7212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979">
              <w:rPr>
                <w:rFonts w:ascii="Calibri" w:hAnsi="Calibri" w:cs="Calibri"/>
                <w:color w:val="000000"/>
                <w:sz w:val="22"/>
                <w:szCs w:val="22"/>
              </w:rPr>
              <w:t>DENTSPLY</w:t>
            </w:r>
          </w:p>
        </w:tc>
      </w:tr>
    </w:tbl>
    <w:p w14:paraId="42B700C2" w14:textId="0AE91337" w:rsidR="00BB0DB2" w:rsidRPr="00232AEE" w:rsidRDefault="00E72126" w:rsidP="00E41263">
      <w:pPr>
        <w:widowControl w:val="0"/>
        <w:suppressAutoHyphens/>
        <w:jc w:val="center"/>
        <w:rPr>
          <w:rFonts w:cs="Arial"/>
          <w:sz w:val="22"/>
          <w:szCs w:val="22"/>
          <w:lang w:eastAsia="ar-SA"/>
        </w:rPr>
      </w:pPr>
      <w:r>
        <w:rPr>
          <w:rFonts w:eastAsia="Arial" w:cs="Arial"/>
          <w:b/>
          <w:bCs/>
          <w:sz w:val="22"/>
          <w:szCs w:val="22"/>
          <w:lang w:eastAsia="ar-SA"/>
        </w:rPr>
        <w:t xml:space="preserve">ANEXO </w:t>
      </w:r>
      <w:r w:rsidR="00E41263">
        <w:rPr>
          <w:rFonts w:eastAsia="Arial" w:cs="Arial"/>
          <w:b/>
          <w:bCs/>
          <w:sz w:val="22"/>
          <w:szCs w:val="22"/>
          <w:lang w:eastAsia="ar-SA"/>
        </w:rPr>
        <w:t xml:space="preserve"> I</w:t>
      </w:r>
    </w:p>
    <w:sectPr w:rsidR="00BB0DB2" w:rsidRPr="00232AEE" w:rsidSect="004B6979">
      <w:pgSz w:w="16840" w:h="11907" w:orient="landscape" w:code="9"/>
      <w:pgMar w:top="851" w:right="567" w:bottom="851" w:left="567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2A7A7B0D" w:rsidR="00FA2955" w:rsidRPr="00764C00" w:rsidRDefault="005921E8" w:rsidP="00FA2955">
    <w:pPr>
      <w:pStyle w:val="Rodap"/>
      <w:ind w:right="360"/>
      <w:jc w:val="center"/>
      <w:rPr>
        <w:sz w:val="13"/>
        <w:szCs w:val="13"/>
      </w:rPr>
    </w:pPr>
    <w:r>
      <w:rPr>
        <w:sz w:val="18"/>
        <w:szCs w:val="18"/>
      </w:rPr>
      <w:t xml:space="preserve">        </w:t>
    </w:r>
    <w:r w:rsidR="00FA2955"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12F8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6C16"/>
    <w:rsid w:val="004A7BD2"/>
    <w:rsid w:val="004B17B4"/>
    <w:rsid w:val="004B6979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21E8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2ED8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0B34"/>
    <w:rsid w:val="006B2AEB"/>
    <w:rsid w:val="006B3F97"/>
    <w:rsid w:val="006C135A"/>
    <w:rsid w:val="006C23A6"/>
    <w:rsid w:val="006C2E31"/>
    <w:rsid w:val="006C3E99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24BF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550DA"/>
    <w:rsid w:val="00855679"/>
    <w:rsid w:val="00861A95"/>
    <w:rsid w:val="008649A0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7107E"/>
    <w:rsid w:val="00B71A4D"/>
    <w:rsid w:val="00B73624"/>
    <w:rsid w:val="00B7701A"/>
    <w:rsid w:val="00B85ACD"/>
    <w:rsid w:val="00B85EB8"/>
    <w:rsid w:val="00B86BF5"/>
    <w:rsid w:val="00B8767C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42B8A"/>
    <w:rsid w:val="00C50742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30CF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1263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2126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2038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69</cp:revision>
  <cp:lastPrinted>2025-09-04T13:46:00Z</cp:lastPrinted>
  <dcterms:created xsi:type="dcterms:W3CDTF">2025-05-16T19:31:00Z</dcterms:created>
  <dcterms:modified xsi:type="dcterms:W3CDTF">2025-09-04T13:52:00Z</dcterms:modified>
</cp:coreProperties>
</file>